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rPr>
          <w:rFonts w:ascii="Arial" w:hAnsi="Arial" w:cs="Arial"/>
          <w:b/>
        </w:rPr>
      </w:pPr>
      <w:r>
        <w:rPr>
          <w:rFonts w:ascii="Arial" w:hAnsi="Arial" w:cs="Arial"/>
        </w:rPr>
        <w:t>Table 4: Predictors of HRQL deterioration in KBILD total score and VAS (not weighted)</w:t>
      </w:r>
    </w:p>
    <w:tbl>
      <w:tblPr>
        <w:tblStyle w:val="Publicationstyle"/>
        <w:tblW w:w="12845" w:type="dxa"/>
        <w:tblLook w:val="04A0" w:firstRow="1" w:lastRow="0" w:firstColumn="1" w:lastColumn="0" w:noHBand="0" w:noVBand="1"/>
      </w:tblPr>
      <w:tblGrid>
        <w:gridCol w:w="3046"/>
        <w:gridCol w:w="1479"/>
        <w:gridCol w:w="2297"/>
        <w:gridCol w:w="1091"/>
        <w:gridCol w:w="1438"/>
        <w:gridCol w:w="2126"/>
        <w:gridCol w:w="1368"/>
      </w:tblGrid>
      <w:tr>
        <w:trPr>
          <w:trHeight w:val="319"/>
        </w:trPr>
        <w:tc>
          <w:tcPr>
            <w:tcW w:w="3046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867" w:type="dxa"/>
            <w:gridSpan w:val="3"/>
            <w:noWrap/>
          </w:tcPr>
          <w:p>
            <w:pPr>
              <w:spacing w:line="36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KBILD Total</w:t>
            </w:r>
          </w:p>
        </w:tc>
        <w:tc>
          <w:tcPr>
            <w:tcW w:w="4932" w:type="dxa"/>
            <w:gridSpan w:val="3"/>
            <w:noWrap/>
          </w:tcPr>
          <w:p>
            <w:pPr>
              <w:spacing w:line="36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VAS</w:t>
            </w:r>
          </w:p>
        </w:tc>
      </w:tr>
      <w:tr>
        <w:trPr>
          <w:trHeight w:val="319"/>
        </w:trPr>
        <w:tc>
          <w:tcPr>
            <w:tcW w:w="3046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Beta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Beta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p-value</w:t>
            </w:r>
          </w:p>
        </w:tc>
      </w:tr>
      <w:tr>
        <w:trPr>
          <w:trHeight w:val="319"/>
        </w:trPr>
        <w:tc>
          <w:tcPr>
            <w:tcW w:w="3046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FVC % predicted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-0.020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[-0.041;0.002]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-0.032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[-0.053;-0.010]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0.004</w:t>
            </w: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DLCO % predicted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-0.024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[-0.054;0.006]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[-0.039;0.015]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0.384</w:t>
            </w:r>
          </w:p>
        </w:tc>
      </w:tr>
      <w:tr>
        <w:trPr>
          <w:trHeight w:val="319"/>
        </w:trPr>
        <w:tc>
          <w:tcPr>
            <w:tcW w:w="3046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Baseline HRQL score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0.099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[0.054;0.144]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[0.017;0.059]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&lt;0.0001</w:t>
            </w: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Age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[-0.031;0.060]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0.526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[-0.011;0.071]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0.147</w:t>
            </w: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Time since diagnosis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-0.008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[-0.07;0.055]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0.813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-0.020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[-0.083;0.042]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0.527</w:t>
            </w:r>
          </w:p>
        </w:tc>
      </w:tr>
      <w:tr>
        <w:trPr>
          <w:trHeight w:val="318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Number of comorbidities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[-0.209;0.291]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0.747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-0.013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[-0.246;0.221]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0.916</w:t>
            </w: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Female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0.713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[-0.136;1.562]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[-0.568;0.952]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0.621</w:t>
            </w:r>
          </w:p>
        </w:tc>
      </w:tr>
      <w:tr>
        <w:trPr>
          <w:trHeight w:val="319"/>
        </w:trPr>
        <w:tc>
          <w:tcPr>
            <w:tcW w:w="3046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ILD Subtype (ref = Other ILD)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IPF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-0.989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[-2.045;0.067]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-0.142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[-1.076;0.792]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0.765</w:t>
            </w: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Sarcoidosis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[-1.219;1.242]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0.985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[-0.653;1.648]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0.396</w:t>
            </w:r>
          </w:p>
        </w:tc>
      </w:tr>
      <w:tr>
        <w:trPr>
          <w:trHeight w:val="319"/>
        </w:trPr>
        <w:tc>
          <w:tcPr>
            <w:tcW w:w="3046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Smoking (ref = non-smoker)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Current smoker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-0.570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[-2.738;1.597]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0.606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0.469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[-1.483;2.421]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0.638</w:t>
            </w: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Former smoker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-0.212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[-1.009;0.584]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0.602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[-0.697;0.817]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0.877</w:t>
            </w:r>
          </w:p>
        </w:tc>
      </w:tr>
      <w:tr>
        <w:trPr>
          <w:trHeight w:val="318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Immunosuppressant use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-0.421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[-1.358;0.516]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0.379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-0.206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[-1.059;0.646]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0.635</w:t>
            </w:r>
          </w:p>
        </w:tc>
      </w:tr>
      <w:tr>
        <w:trPr>
          <w:trHeight w:val="318"/>
        </w:trPr>
        <w:tc>
          <w:tcPr>
            <w:tcW w:w="3046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Education (ref = higher)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Basic education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0.436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[-0.529;1.400]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0.376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[-0.833;0.841]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0.993</w:t>
            </w: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Secondary education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1.011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[0.017;2.005]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-0.363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[-1.270;0.544]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0.433</w:t>
            </w:r>
          </w:p>
        </w:tc>
      </w:tr>
      <w:tr>
        <w:trPr>
          <w:trHeight w:val="319"/>
        </w:trPr>
        <w:tc>
          <w:tcPr>
            <w:tcW w:w="3046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Unemployed</w:t>
            </w:r>
          </w:p>
        </w:tc>
        <w:tc>
          <w:tcPr>
            <w:tcW w:w="147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229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[-1.143;1.171]</w:t>
            </w:r>
          </w:p>
        </w:tc>
        <w:tc>
          <w:tcPr>
            <w:tcW w:w="109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0.981</w:t>
            </w:r>
          </w:p>
        </w:tc>
        <w:tc>
          <w:tcPr>
            <w:tcW w:w="143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0.416</w:t>
            </w:r>
          </w:p>
        </w:tc>
        <w:tc>
          <w:tcPr>
            <w:tcW w:w="2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[-0.653;1.485]</w:t>
            </w:r>
          </w:p>
        </w:tc>
        <w:tc>
          <w:tcPr>
            <w:tcW w:w="1368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0.446</w:t>
            </w:r>
          </w:p>
        </w:tc>
      </w:tr>
    </w:tbl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  <w:b/>
        </w:rPr>
      </w:pPr>
      <w:r>
        <w:rPr>
          <w:rFonts w:ascii="Arial" w:hAnsi="Arial" w:cs="Arial"/>
        </w:rPr>
        <w:lastRenderedPageBreak/>
        <w:t xml:space="preserve">Table 4 </w:t>
      </w:r>
      <w:bookmarkStart w:id="0" w:name="_GoBack"/>
      <w:bookmarkEnd w:id="0"/>
      <w:r>
        <w:rPr>
          <w:rFonts w:ascii="Arial" w:hAnsi="Arial" w:cs="Arial"/>
        </w:rPr>
        <w:t>continued</w:t>
      </w:r>
      <w:r>
        <w:rPr>
          <w:rFonts w:ascii="Arial" w:hAnsi="Arial" w:cs="Arial"/>
          <w:b/>
        </w:rPr>
        <w:t xml:space="preserve">: </w:t>
      </w:r>
      <w:r>
        <w:rPr>
          <w:rFonts w:ascii="Arial" w:hAnsi="Arial" w:cs="Arial"/>
        </w:rPr>
        <w:t>Predictors of HRQL deterioration in KBILD domains (not weighted)</w:t>
      </w:r>
    </w:p>
    <w:tbl>
      <w:tblPr>
        <w:tblStyle w:val="Publicationstyle"/>
        <w:tblW w:w="12950" w:type="dxa"/>
        <w:tblLook w:val="04A0" w:firstRow="1" w:lastRow="0" w:firstColumn="1" w:lastColumn="0" w:noHBand="0" w:noVBand="1"/>
      </w:tblPr>
      <w:tblGrid>
        <w:gridCol w:w="2130"/>
        <w:gridCol w:w="1126"/>
        <w:gridCol w:w="1559"/>
        <w:gridCol w:w="880"/>
        <w:gridCol w:w="1104"/>
        <w:gridCol w:w="1656"/>
        <w:gridCol w:w="882"/>
        <w:gridCol w:w="1148"/>
        <w:gridCol w:w="1559"/>
        <w:gridCol w:w="906"/>
      </w:tblGrid>
      <w:tr>
        <w:trPr>
          <w:trHeight w:val="326"/>
        </w:trPr>
        <w:tc>
          <w:tcPr>
            <w:tcW w:w="2130" w:type="dxa"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</w:p>
        </w:tc>
        <w:tc>
          <w:tcPr>
            <w:tcW w:w="3565" w:type="dxa"/>
            <w:gridSpan w:val="3"/>
            <w:noWrap/>
          </w:tcPr>
          <w:p>
            <w:pPr>
              <w:spacing w:line="360" w:lineRule="auto"/>
              <w:jc w:val="center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KBILD Breathlessness and Activities</w:t>
            </w:r>
          </w:p>
        </w:tc>
        <w:tc>
          <w:tcPr>
            <w:tcW w:w="3642" w:type="dxa"/>
            <w:gridSpan w:val="3"/>
            <w:noWrap/>
          </w:tcPr>
          <w:p>
            <w:pPr>
              <w:spacing w:line="360" w:lineRule="auto"/>
              <w:jc w:val="center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KBILD Chest</w:t>
            </w:r>
          </w:p>
        </w:tc>
        <w:tc>
          <w:tcPr>
            <w:tcW w:w="3613" w:type="dxa"/>
            <w:gridSpan w:val="3"/>
            <w:noWrap/>
          </w:tcPr>
          <w:p>
            <w:pPr>
              <w:spacing w:line="360" w:lineRule="auto"/>
              <w:jc w:val="center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KBILD Psychological</w:t>
            </w:r>
          </w:p>
        </w:tc>
      </w:tr>
      <w:tr>
        <w:trPr>
          <w:trHeight w:val="326"/>
        </w:trPr>
        <w:tc>
          <w:tcPr>
            <w:tcW w:w="2130" w:type="dxa"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bCs/>
                <w:sz w:val="18"/>
                <w:szCs w:val="20"/>
              </w:rPr>
              <w:t>Beta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95% CI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b/>
                <w:bCs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p-value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bCs/>
                <w:sz w:val="18"/>
                <w:szCs w:val="20"/>
              </w:rPr>
              <w:t>Beta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95% CI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b/>
                <w:bCs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p-value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bCs/>
                <w:sz w:val="18"/>
                <w:szCs w:val="20"/>
              </w:rPr>
              <w:t>Beta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95% CI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p-value</w:t>
            </w:r>
          </w:p>
        </w:tc>
      </w:tr>
      <w:tr>
        <w:trPr>
          <w:trHeight w:val="326"/>
        </w:trPr>
        <w:tc>
          <w:tcPr>
            <w:tcW w:w="2130" w:type="dxa"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FVC % predicted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0.005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[-0.016;0.025]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0.654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-0.005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[-0.026;0.016]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0.640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-0.016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[-0.037;0.006]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0.147</w:t>
            </w: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DLCO % predicted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-0.034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[-0.062;-0.005]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0.021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-0.037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[-0.068;-0.006]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0.019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-0.013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[-0.044;0.017]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0.390</w:t>
            </w:r>
          </w:p>
        </w:tc>
      </w:tr>
      <w:tr>
        <w:trPr>
          <w:trHeight w:val="326"/>
        </w:trPr>
        <w:tc>
          <w:tcPr>
            <w:tcW w:w="2130" w:type="dxa"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 xml:space="preserve">Baseline </w:t>
            </w:r>
            <w:r>
              <w:rPr>
                <w:rFonts w:cs="Arial"/>
                <w:sz w:val="16"/>
                <w:szCs w:val="16"/>
              </w:rPr>
              <w:t>HRQL</w:t>
            </w:r>
            <w:r>
              <w:rPr>
                <w:rFonts w:cs="Arial"/>
                <w:sz w:val="18"/>
                <w:szCs w:val="20"/>
              </w:rPr>
              <w:t xml:space="preserve"> score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0.030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[0.010;0.050]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0.004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0.053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[0.032;0.074]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&lt;.0001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0.090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[0.050;0.130]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sz w:val="18"/>
                <w:szCs w:val="16"/>
              </w:rPr>
              <w:t>&lt;0.0001</w:t>
            </w: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Age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0.010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[-0.032;0.051]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0.647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-0.001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[-0.049;0.046]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0.952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0.046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[-0.003;0.095]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0.065</w:t>
            </w: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Time since diagnosis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0.010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[-0.051;0.071]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0.754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-0.018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[-0.086;0.050]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0.602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0.027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[-0.039;0.094]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0.423</w:t>
            </w:r>
          </w:p>
        </w:tc>
      </w:tr>
      <w:tr>
        <w:trPr>
          <w:trHeight w:val="329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Number of comorbidities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0.110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[-0.130;0.349]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0.369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0.020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[-0.236;0.276]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0.879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-0.071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[-0.323;0.182]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0.583</w:t>
            </w: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Female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0.643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[-0.149;1.435]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0.112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0.633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[-0.234;1.500]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0.152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0.241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[-0.603;1.085]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0.576</w:t>
            </w:r>
          </w:p>
        </w:tc>
      </w:tr>
      <w:tr>
        <w:trPr>
          <w:trHeight w:val="326"/>
        </w:trPr>
        <w:tc>
          <w:tcPr>
            <w:tcW w:w="2130" w:type="dxa"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ILD Subtype (ref = Other ILD)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IPF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0.109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lef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[-0.858;1.075]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0.826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-0.308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[-1.352;0.736]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0.563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-1.107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[-2.163;-0.051]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20"/>
              </w:rPr>
            </w:pPr>
            <w:r>
              <w:rPr>
                <w:rFonts w:cs="Arial"/>
                <w:b/>
                <w:color w:val="000000"/>
                <w:sz w:val="18"/>
                <w:szCs w:val="20"/>
              </w:rPr>
              <w:t>0.040</w:t>
            </w: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Sarcoidosis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-0.448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lef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[-1.614;0.718]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0.452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0.769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[-0.537;2.076]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0.248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-0.243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[-1.546;1.060]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0.715</w:t>
            </w:r>
          </w:p>
        </w:tc>
      </w:tr>
      <w:tr>
        <w:trPr>
          <w:trHeight w:val="326"/>
        </w:trPr>
        <w:tc>
          <w:tcPr>
            <w:tcW w:w="2130" w:type="dxa"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Smoking (ref = non-smoker)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Current smoker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-1.285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[-3.686;1.116]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0.294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-0.624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[-2.872;1.625]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0.587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-0.098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[-2.401;2.205]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0.934</w:t>
            </w: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Former smoker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-0.352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[-1.092;0.389]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0.352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-0.594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[-1.428;0.240]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0.163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-0.185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[-1.032;0.661]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0.667</w:t>
            </w:r>
          </w:p>
        </w:tc>
      </w:tr>
      <w:tr>
        <w:trPr>
          <w:trHeight w:val="329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Immunosuppressant use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0.166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[-0.715;1.047]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0.712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-0.243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[-1.177;0.691]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0.610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-0.478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[-1.418;0.462]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0.319</w:t>
            </w:r>
          </w:p>
        </w:tc>
      </w:tr>
      <w:tr>
        <w:trPr>
          <w:trHeight w:val="326"/>
        </w:trPr>
        <w:tc>
          <w:tcPr>
            <w:tcW w:w="2130" w:type="dxa"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Education (ref = higher)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Basic education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-0.177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[-1.041;0.688]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0.689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0.434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[-0.545;1.413]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0.385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0.111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[-0.825;1.047]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0.816</w:t>
            </w: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Secondary education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0.433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[-0.448;1.315]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0.335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0.902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[-0.138;1.943]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0.089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0.357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[-0.653;1.367]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0.488</w:t>
            </w:r>
          </w:p>
        </w:tc>
      </w:tr>
      <w:tr>
        <w:trPr>
          <w:trHeight w:val="326"/>
        </w:trPr>
        <w:tc>
          <w:tcPr>
            <w:tcW w:w="2130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Unemployed</w:t>
            </w:r>
          </w:p>
        </w:tc>
        <w:tc>
          <w:tcPr>
            <w:tcW w:w="112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-0.513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[-1.618;0.592]</w:t>
            </w:r>
          </w:p>
        </w:tc>
        <w:tc>
          <w:tcPr>
            <w:tcW w:w="880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0.363</w:t>
            </w:r>
          </w:p>
        </w:tc>
        <w:tc>
          <w:tcPr>
            <w:tcW w:w="110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0.833</w:t>
            </w:r>
          </w:p>
        </w:tc>
        <w:tc>
          <w:tcPr>
            <w:tcW w:w="1656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[-0.430;2.095]</w:t>
            </w:r>
          </w:p>
        </w:tc>
        <w:tc>
          <w:tcPr>
            <w:tcW w:w="882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0.196</w:t>
            </w:r>
          </w:p>
        </w:tc>
        <w:tc>
          <w:tcPr>
            <w:tcW w:w="114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0.492</w:t>
            </w:r>
          </w:p>
        </w:tc>
        <w:tc>
          <w:tcPr>
            <w:tcW w:w="15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[-0.754;1.737]</w:t>
            </w:r>
          </w:p>
        </w:tc>
        <w:tc>
          <w:tcPr>
            <w:tcW w:w="90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20"/>
              </w:rPr>
            </w:pPr>
            <w:r>
              <w:rPr>
                <w:rFonts w:cs="Arial"/>
                <w:color w:val="000000"/>
                <w:sz w:val="18"/>
                <w:szCs w:val="20"/>
              </w:rPr>
              <w:t>0.439</w:t>
            </w:r>
          </w:p>
        </w:tc>
      </w:tr>
    </w:tbl>
    <w:p/>
    <w:sectPr>
      <w:pgSz w:w="15840" w:h="12240" w:orient="landscape" w:code="1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CF3F26-B025-4982-838E-83A561638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480" w:lineRule="auto"/>
      <w:jc w:val="both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ublicationstyle">
    <w:name w:val="Publication style"/>
    <w:basedOn w:val="TableNormal"/>
    <w:uiPriority w:val="99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cPr>
      <w:shd w:val="clear" w:color="auto" w:fill="FFFFFF" w:themeFill="background1"/>
    </w:tcPr>
  </w:style>
  <w:style w:type="character" w:styleId="LineNumber">
    <w:name w:val="line number"/>
    <w:basedOn w:val="DefaultParagraphFon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Helmholtz Zentrum München</Company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Maqhuzu, Phillen Nozibuyiso</dc:creator>
  <cp:keywords/>
  <dc:description/>
  <cp:lastModifiedBy>Maqhuzu, Phillen Nozibuyiso</cp:lastModifiedBy>
  <cp:revision>2</cp:revision>
  <dcterms:created xsi:type="dcterms:W3CDTF">2020-04-03T15:52:00Z</dcterms:created>
  <dcterms:modified xsi:type="dcterms:W3CDTF">2020-04-03T15:54:00Z</dcterms:modified>
</cp:coreProperties>
</file>